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C" w:rsidRPr="00416F5C" w:rsidRDefault="00416F5C" w:rsidP="00416F5C">
      <w:pPr>
        <w:widowControl/>
        <w:spacing w:before="75" w:after="75"/>
        <w:jc w:val="center"/>
        <w:rPr>
          <w:rFonts w:ascii="Tahoma" w:eastAsia="宋体" w:hAnsi="Tahoma" w:cs="Tahoma"/>
          <w:kern w:val="0"/>
          <w:sz w:val="18"/>
          <w:szCs w:val="18"/>
        </w:rPr>
      </w:pPr>
      <w:r w:rsidRPr="00416F5C">
        <w:rPr>
          <w:rFonts w:ascii="Simsun" w:eastAsia="宋体" w:hAnsi="Simsun" w:cs="Tahoma"/>
          <w:b/>
          <w:bCs/>
          <w:color w:val="333333"/>
          <w:kern w:val="0"/>
          <w:sz w:val="24"/>
          <w:szCs w:val="24"/>
          <w:shd w:val="clear" w:color="auto" w:fill="FFFFFF"/>
        </w:rPr>
        <w:t>广州中院</w:t>
      </w:r>
      <w:r w:rsidRPr="00416F5C">
        <w:rPr>
          <w:rFonts w:ascii="Simsun" w:eastAsia="宋体" w:hAnsi="Simsun" w:cs="Tahoma"/>
          <w:b/>
          <w:bCs/>
          <w:color w:val="333333"/>
          <w:kern w:val="0"/>
          <w:sz w:val="24"/>
          <w:szCs w:val="24"/>
          <w:shd w:val="clear" w:color="auto" w:fill="FFFFFF"/>
        </w:rPr>
        <w:t>2015</w:t>
      </w:r>
      <w:r w:rsidRPr="00416F5C">
        <w:rPr>
          <w:rFonts w:ascii="Simsun" w:eastAsia="宋体" w:hAnsi="Simsun" w:cs="Tahoma"/>
          <w:b/>
          <w:bCs/>
          <w:color w:val="333333"/>
          <w:kern w:val="0"/>
          <w:sz w:val="24"/>
          <w:szCs w:val="24"/>
          <w:shd w:val="clear" w:color="auto" w:fill="FFFFFF"/>
        </w:rPr>
        <w:t>年第</w:t>
      </w:r>
      <w:r w:rsidRPr="00416F5C">
        <w:rPr>
          <w:rFonts w:ascii="Simsun" w:eastAsia="宋体" w:hAnsi="Simsun" w:cs="Tahoma"/>
          <w:b/>
          <w:bCs/>
          <w:color w:val="333333"/>
          <w:kern w:val="0"/>
          <w:sz w:val="24"/>
          <w:szCs w:val="24"/>
          <w:shd w:val="clear" w:color="auto" w:fill="FFFFFF"/>
        </w:rPr>
        <w:t>20</w:t>
      </w:r>
      <w:r w:rsidRPr="00416F5C">
        <w:rPr>
          <w:rFonts w:ascii="Simsun" w:eastAsia="宋体" w:hAnsi="Simsun" w:cs="Tahoma"/>
          <w:b/>
          <w:bCs/>
          <w:color w:val="333333"/>
          <w:kern w:val="0"/>
          <w:sz w:val="24"/>
          <w:szCs w:val="24"/>
          <w:shd w:val="clear" w:color="auto" w:fill="FFFFFF"/>
        </w:rPr>
        <w:t>期摇珠通知</w:t>
      </w:r>
      <w:r w:rsidRPr="00416F5C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416F5C" w:rsidRPr="00416F5C" w:rsidRDefault="00416F5C" w:rsidP="00416F5C">
      <w:pPr>
        <w:widowControl/>
        <w:spacing w:before="75" w:after="75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416F5C">
        <w:rPr>
          <w:rFonts w:ascii="Tahoma" w:eastAsia="宋体" w:hAnsi="Tahoma" w:cs="Tahoma"/>
          <w:kern w:val="0"/>
          <w:sz w:val="18"/>
          <w:szCs w:val="18"/>
        </w:rPr>
        <w:t> 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各中介机构：</w:t>
      </w:r>
      <w:r w:rsidRPr="00416F5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ind w:firstLine="602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按工作安排，定于20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15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年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6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月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24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日（星期三）下午3:00在本院主楼四楼新闻发布中心举行20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15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年第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20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proofErr w:type="gramStart"/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期司法</w:t>
      </w:r>
      <w:proofErr w:type="gramEnd"/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委托摇珠选定受托机构现场会，具体委托事项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3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类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3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u w:val="single"/>
        </w:rPr>
        <w:t> </w:t>
      </w: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项。</w:t>
      </w:r>
      <w:r w:rsidRPr="00416F5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一、拍卖类1项。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600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1、案号：（2001）穗中法执字第562号；标的：广州市天河区体育西路191号“中石化大厦”B座10-12层全层（01-24房）、1324房、14-15全层（01-24房）、21层（01-24房）。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二、房地产评估类0项。</w:t>
      </w:r>
      <w:r w:rsidRPr="00416F5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三、土地评估类1项。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600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1、案号：（2015）穗中法执字第875号；标的：广州市</w:t>
      </w:r>
      <w:proofErr w:type="gramStart"/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荔</w:t>
      </w:r>
      <w:proofErr w:type="gramEnd"/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湾区广东制药厂以西、沙涌路以北的国有土地使用权。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四、资产评估类0项。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五、股权评估类0项。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六、证券评估类0项。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七、保险</w:t>
      </w:r>
      <w:proofErr w:type="gramStart"/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公估类0项</w:t>
      </w:r>
      <w:proofErr w:type="gramEnd"/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八、会计审计类0项。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九、工程造价评估类0项。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十、价格鉴定类0项。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十一、医学鉴定类0项。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十二、物证鉴定类0项。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十三、破产清算类1项。</w:t>
      </w:r>
      <w:r>
        <w:rPr>
          <w:rFonts w:ascii="宋体" w:eastAsia="宋体" w:hAnsi="宋体" w:cs="Tahoma"/>
          <w:b/>
          <w:bCs/>
          <w:noProof/>
          <w:color w:val="333333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gzaba.org.cn/kindEditor/themes/common/anch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aba.org.cn/kindEditor/themes/common/ancho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   </w:t>
      </w:r>
      <w:r w:rsidRPr="00416F5C">
        <w:rPr>
          <w:rFonts w:ascii="仿宋_GB2312" w:eastAsia="仿宋_GB2312" w:hAnsi="Simsun" w:cs="Tahoma" w:hint="eastAsia"/>
          <w:color w:val="333333"/>
          <w:kern w:val="0"/>
        </w:rPr>
        <w:t> </w:t>
      </w:r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1、案号：（2015）穗中法</w:t>
      </w:r>
      <w:proofErr w:type="gramStart"/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民清字第5号</w:t>
      </w:r>
      <w:proofErr w:type="gramEnd"/>
      <w:r w:rsidRPr="00416F5C">
        <w:rPr>
          <w:rFonts w:ascii="仿宋_GB2312" w:eastAsia="仿宋_GB2312" w:hAnsi="Simsun" w:cs="Tahoma" w:hint="eastAsia"/>
          <w:color w:val="333333"/>
          <w:kern w:val="0"/>
          <w:szCs w:val="21"/>
        </w:rPr>
        <w:t>；标的：摇珠选定破产清算组。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Simsun" w:eastAsia="宋体" w:hAnsi="Simsun" w:cs="Tahoma"/>
          <w:color w:val="333333"/>
          <w:kern w:val="0"/>
          <w:szCs w:val="21"/>
        </w:rPr>
        <w:t> 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十四、声像资料鉴定0项。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十五、知识产权鉴定（声像）0项。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十六、房屋安全鉴定类0项。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十七、工程质量检测0项。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十八、装修质量鉴定0项。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十九、电子数据与计算机0项。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ind w:firstLine="596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</w:t>
      </w:r>
      <w:r w:rsidRPr="00416F5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420" w:lineRule="atLeast"/>
        <w:ind w:firstLine="596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本期</w:t>
      </w:r>
      <w:proofErr w:type="gramStart"/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摇珠需到场</w:t>
      </w:r>
      <w:proofErr w:type="gramEnd"/>
      <w:r w:rsidRPr="00416F5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监督的机构分别是：拍卖类18、19、20、21号；土地评估类13、14、15、17号；破产清算类10、11、12、13号，请上述中介机构准时派员到会（下午2：50进场完毕）。请所有到场机构的工作人员携带身份证并提供介绍信或授权委托书。</w:t>
      </w:r>
      <w:r w:rsidRPr="00416F5C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660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特此公告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660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 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660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 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416F5C" w:rsidRPr="00416F5C" w:rsidRDefault="00416F5C" w:rsidP="00416F5C">
      <w:pPr>
        <w:widowControl/>
        <w:shd w:val="clear" w:color="auto" w:fill="FFFFFF"/>
        <w:spacing w:line="315" w:lineRule="atLeast"/>
        <w:ind w:firstLine="4427"/>
        <w:jc w:val="left"/>
        <w:rPr>
          <w:rFonts w:ascii="Simsun" w:eastAsia="宋体" w:hAnsi="Simsun" w:cs="Tahoma"/>
          <w:color w:val="333333"/>
          <w:kern w:val="0"/>
          <w:szCs w:val="21"/>
        </w:rPr>
      </w:pPr>
      <w:r w:rsidRPr="00416F5C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2015年6月18日</w:t>
      </w:r>
      <w:r w:rsidRPr="00416F5C">
        <w:rPr>
          <w:rFonts w:ascii="Simsun" w:eastAsia="宋体" w:hAnsi="Simsun" w:cs="Tahoma"/>
          <w:color w:val="333333"/>
          <w:kern w:val="0"/>
          <w:szCs w:val="21"/>
        </w:rPr>
        <w:t xml:space="preserve"> </w:t>
      </w:r>
    </w:p>
    <w:p w:rsidR="00AB1AF7" w:rsidRDefault="00AB1AF7"/>
    <w:sectPr w:rsidR="00AB1AF7" w:rsidSect="00AB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F5C"/>
    <w:rsid w:val="00416F5C"/>
    <w:rsid w:val="00AB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5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6F5C"/>
  </w:style>
  <w:style w:type="paragraph" w:styleId="2">
    <w:name w:val="Body Text Indent 2"/>
    <w:basedOn w:val="a"/>
    <w:link w:val="2Char"/>
    <w:uiPriority w:val="99"/>
    <w:semiHidden/>
    <w:unhideWhenUsed/>
    <w:rsid w:val="00416F5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416F5C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6F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F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2015-06-30T11:30:00Z</dcterms:created>
  <dcterms:modified xsi:type="dcterms:W3CDTF">2015-06-30T11:30:00Z</dcterms:modified>
</cp:coreProperties>
</file>